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"/>
        <w:spacing w:lineRule="auto" w:line="276"/>
        <w:jc w:val="center"/>
        <w:rPr>
          <w:b/>
          <w:bCs/>
          <w:color w:val="FF0000"/>
          <w:sz w:val="24"/>
          <w:szCs w:val="24"/>
        </w:rPr>
      </w:pPr>
      <w:bookmarkStart w:id="0" w:name="_Hlk152931724"/>
      <w:r>
        <w:rPr>
          <w:b/>
          <w:bCs/>
          <w:color w:val="FF0000"/>
          <w:sz w:val="24"/>
          <w:szCs w:val="24"/>
        </w:rPr>
        <w:t>PLEASE ASK THE GP TO SEND A 'GP REFERRAL LETTER' TO US WITH THIS FORM. OTHERWISE, YOUR REFERRAL WILL NOT BE ACCEPTED.</w:t>
      </w:r>
      <w:bookmarkEnd w:id="0"/>
    </w:p>
    <w:p>
      <w:pPr>
        <w:pStyle w:val="Body"/>
        <w:spacing w:lineRule="auto" w:line="276"/>
        <w:jc w:val="right"/>
        <w:rPr>
          <w:color w:val="0070C0"/>
        </w:rPr>
      </w:pPr>
      <w:r>
        <w:rPr>
          <w:color w:val="0070C0"/>
        </w:rPr>
      </w:r>
    </w:p>
    <w:p>
      <w:pPr>
        <w:pStyle w:val="Body"/>
        <w:spacing w:lineRule="auto" w:line="276"/>
        <w:jc w:val="right"/>
        <w:rPr>
          <w:color w:val="0070C0"/>
        </w:rPr>
      </w:pPr>
      <w:r>
        <w:rPr>
          <w:color w:val="0070C0"/>
        </w:rPr>
        <w:t>[insert your home address here]</w:t>
      </w:r>
    </w:p>
    <w:p>
      <w:pPr>
        <w:pStyle w:val="Body"/>
        <w:spacing w:lineRule="auto" w:line="276"/>
        <w:jc w:val="right"/>
        <w:rPr>
          <w:color w:val="0070C0"/>
        </w:rPr>
      </w:pPr>
      <w:r>
        <w:rPr>
          <w:color w:val="0070C0"/>
        </w:rPr>
        <w:t>[insert your email address here]</w:t>
      </w:r>
    </w:p>
    <w:p>
      <w:pPr>
        <w:pStyle w:val="Body"/>
        <w:spacing w:lineRule="auto" w:line="276"/>
        <w:rPr>
          <w:color w:val="0070C0"/>
        </w:rPr>
      </w:pPr>
      <w:r>
        <w:rPr>
          <w:color w:val="0070C0"/>
        </w:rPr>
      </w:r>
    </w:p>
    <w:p>
      <w:pPr>
        <w:pStyle w:val="Body"/>
        <w:spacing w:lineRule="auto" w:line="276"/>
        <w:jc w:val="right"/>
        <w:rPr>
          <w:color w:val="0070C0"/>
        </w:rPr>
      </w:pPr>
      <w:r>
        <w:rPr>
          <w:color w:val="0070C0"/>
        </w:rPr>
        <w:t>[insert date here]</w:t>
      </w:r>
    </w:p>
    <w:p>
      <w:pPr>
        <w:pStyle w:val="Body"/>
        <w:spacing w:lineRule="auto" w:line="276"/>
        <w:jc w:val="right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Dear </w:t>
      </w:r>
      <w:r>
        <w:rPr>
          <w:color w:val="0070C0"/>
          <w:sz w:val="24"/>
          <w:szCs w:val="24"/>
        </w:rPr>
        <w:t>[insert name of your GP here]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I understand that under the NHS Constitution, I now have the right to choose from where I receive my treatment for any of my mental health issues, when referred by a GP to a consultant or specialist in mental health.  This change in the law is set out in NHS Gateway Publication number 07661, </w:t>
      </w:r>
      <w:r>
        <w:rPr>
          <w:sz w:val="24"/>
          <w:szCs w:val="24"/>
          <w:lang w:val="ar-SA"/>
        </w:rPr>
        <w:t>“</w:t>
      </w:r>
      <w:r>
        <w:rPr>
          <w:sz w:val="24"/>
          <w:szCs w:val="24"/>
        </w:rPr>
        <w:t xml:space="preserve">Choice in Mental Health Care”, updated in February 2018. 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Helvetica Neue" w:hAnsi="Helvetica Neue" w:eastAsia="Calibri" w:cs="Helvetica Neue" w:asciiTheme="majorHAnsi" w:cstheme="majorHAnsi" w:hAnsiTheme="majorHAnsi"/>
        </w:rPr>
      </w:pPr>
      <w:r>
        <w:rPr>
          <w:rFonts w:eastAsia="Calibri" w:cs="Helvetica Neue" w:ascii="Helvetica Neue" w:hAnsi="Helvetica Neue" w:asciiTheme="majorHAnsi" w:cstheme="majorHAnsi" w:hAnsiTheme="majorHAnsi"/>
        </w:rPr>
        <w:t xml:space="preserve">https://www.england.nhs.uk/wp-content/uploads/2018/02/choice-in-mental-health-care-v5.pdf 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Helvetica Neue" w:hAnsi="Helvetica Neue" w:cs="Helvetica Neue" w:asciiTheme="majorHAnsi" w:cstheme="majorHAnsi" w:hAnsiTheme="majorHAnsi"/>
          <w:b/>
          <w:bCs/>
        </w:rPr>
      </w:pPr>
      <w:r>
        <w:rPr>
          <w:rFonts w:cs="Helvetica Neue" w:ascii="Helvetica Neue" w:hAnsi="Helvetica Neue" w:asciiTheme="majorHAnsi" w:cstheme="majorHAnsi" w:hAnsiTheme="majorHAnsi"/>
          <w:b/>
          <w:bCs/>
        </w:rPr>
        <w:t>About Right To Choose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The criteria for referral are that I </w:t>
      </w:r>
      <w:r>
        <w:rPr>
          <w:i/>
          <w:iCs/>
          <w:sz w:val="24"/>
          <w:szCs w:val="24"/>
        </w:rPr>
        <w:t>"... must be offered, in respect of a first outpatient appointment with a team led by a named consultant or a named healthcare professional, a choice of any clinically appropriate health service provider with whom any relevant body has a commissioning contract for the service required as a result of the referral, and a choice of a team led by a named consultant or a named healthcare professional."</w:t>
      </w:r>
      <w:r>
        <w:rPr>
          <w:sz w:val="24"/>
          <w:szCs w:val="24"/>
        </w:rPr>
        <w:t> 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The legal rights to a choice of mental health provider and team apply when a patient is seeking an elective referral for a first outpatient appointment and is referred by a GP. The referral must be clinically appropriate, and the service provider must have a commissioning contract with any Integrated Care Board (ICB) or NHS England for the required service.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Helvetica Neue" w:hAnsi="Helvetica Neue" w:eastAsia="Calibri" w:cs="Helvetica Neue" w:asciiTheme="majorHAnsi" w:cstheme="majorHAnsi" w:hAnsiTheme="majorHAnsi"/>
          <w:b/>
          <w:bCs/>
        </w:rPr>
      </w:pPr>
      <w:r>
        <w:rPr>
          <w:rFonts w:eastAsia="Calibri" w:cs="Helvetica Neue" w:ascii="Helvetica Neue" w:hAnsi="Helvetica Neue" w:asciiTheme="majorHAnsi" w:cstheme="majorHAnsi" w:hAnsiTheme="majorHAnsi"/>
          <w:b/>
          <w:bCs/>
        </w:rPr>
        <w:t>About me and why I seek this referral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Having researched the subject and undertaken a self-assessment, using an accredited online rating scale, I believe that I have a neurodevelopmental condition, such as Attention Deficit (Hyperactivity) or Autistic Spectrum Disorder.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/>
        <w:jc w:val="both"/>
        <w:rPr>
          <w:rFonts w:ascii="Helvetica Neue" w:hAnsi="Helvetica Neue" w:eastAsia="Calibri" w:cs="Helvetica Neue" w:asciiTheme="majorHAnsi" w:cstheme="majorHAnsi" w:hAnsiTheme="majorHAnsi"/>
        </w:rPr>
      </w:pPr>
      <w:r>
        <w:rPr>
          <w:rFonts w:eastAsia="Calibri" w:cs="Helvetica Neue" w:ascii="Helvetica Neue" w:hAnsi="Helvetica Neue" w:asciiTheme="majorHAnsi" w:cstheme="majorHAnsi" w:hAnsiTheme="majorHAnsi"/>
        </w:rPr>
        <w:t>I confirm that I am not exempt from RTC as stated in NHS guidance as none of the exclusion criteria apply to me, I am not:</w:t>
      </w:r>
    </w:p>
    <w:p>
      <w:pPr>
        <w:pStyle w:val="ListParagraph"/>
        <w:numPr>
          <w:ilvl w:val="0"/>
          <w:numId w:val="3"/>
        </w:numPr>
        <w:pBdr/>
        <w:spacing w:lineRule="atLeast" w:line="408"/>
        <w:ind w:hanging="360" w:left="360" w:right="-194"/>
        <w:rPr>
          <w:rFonts w:ascii="Helvetica Neue" w:hAnsi="Helvetica Neue" w:cs="Helvetica Neue" w:asciiTheme="majorHAnsi" w:cstheme="majorHAnsi" w:hAnsiTheme="majorHAnsi"/>
        </w:rPr>
      </w:pPr>
      <w:r>
        <w:rPr>
          <w:rFonts w:cs="Helvetica Neue" w:ascii="Helvetica Neue" w:hAnsi="Helvetica Neue" w:asciiTheme="majorHAnsi" w:cstheme="majorHAnsi" w:hAnsiTheme="majorHAnsi"/>
        </w:rPr>
        <w:t xml:space="preserve">already receiving mental health care following an elective referral for the same condition; or </w:t>
      </w:r>
    </w:p>
    <w:p>
      <w:pPr>
        <w:pStyle w:val="ListParagraph"/>
        <w:numPr>
          <w:ilvl w:val="0"/>
          <w:numId w:val="3"/>
        </w:numPr>
        <w:pBdr/>
        <w:spacing w:lineRule="atLeast" w:line="408"/>
        <w:ind w:hanging="360" w:left="360" w:right="-194"/>
        <w:rPr>
          <w:rFonts w:ascii="Helvetica Neue" w:hAnsi="Helvetica Neue" w:cs="Helvetica Neue" w:asciiTheme="majorHAnsi" w:cstheme="majorHAnsi" w:hAnsiTheme="majorHAnsi"/>
        </w:rPr>
      </w:pPr>
      <w:r>
        <w:rPr>
          <w:rFonts w:cs="Helvetica Neue" w:ascii="Helvetica Neue" w:hAnsi="Helvetica Neue" w:asciiTheme="majorHAnsi" w:cstheme="majorHAnsi" w:hAnsiTheme="majorHAnsi"/>
        </w:rPr>
        <w:t xml:space="preserve">referred to a service that is commissioned by a local authority, for example, a drug and alcohol service (unless commissioned under a Section 75 Agreement); or </w:t>
      </w:r>
    </w:p>
    <w:p>
      <w:pPr>
        <w:pStyle w:val="ListParagraph"/>
        <w:numPr>
          <w:ilvl w:val="0"/>
          <w:numId w:val="3"/>
        </w:numPr>
        <w:pBdr/>
        <w:spacing w:lineRule="atLeast" w:line="408"/>
        <w:ind w:hanging="360" w:left="360" w:right="-194"/>
        <w:rPr>
          <w:rFonts w:ascii="Helvetica Neue" w:hAnsi="Helvetica Neue" w:cs="Helvetica Neue" w:asciiTheme="majorHAnsi" w:cstheme="majorHAnsi" w:hAnsiTheme="majorHAnsi"/>
        </w:rPr>
      </w:pPr>
      <w:r>
        <w:rPr>
          <w:rFonts w:cs="Helvetica Neue" w:ascii="Helvetica Neue" w:hAnsi="Helvetica Neue" w:asciiTheme="majorHAnsi" w:cstheme="majorHAnsi" w:hAnsiTheme="majorHAnsi"/>
        </w:rPr>
        <w:t xml:space="preserve">accessing urgent or emergency (that is, crisis) care; or </w:t>
      </w:r>
    </w:p>
    <w:p>
      <w:pPr>
        <w:pStyle w:val="ListParagraph"/>
        <w:numPr>
          <w:ilvl w:val="0"/>
          <w:numId w:val="3"/>
        </w:numPr>
        <w:pBdr/>
        <w:spacing w:lineRule="atLeast" w:line="408"/>
        <w:ind w:hanging="360" w:left="360" w:right="-194"/>
        <w:rPr>
          <w:rFonts w:ascii="Helvetica Neue" w:hAnsi="Helvetica Neue" w:cs="Helvetica Neue" w:asciiTheme="majorHAnsi" w:cstheme="majorHAnsi" w:hAnsiTheme="majorHAnsi"/>
        </w:rPr>
      </w:pPr>
      <w:r>
        <w:rPr>
          <w:rFonts w:cs="Helvetica Neue" w:ascii="Helvetica Neue" w:hAnsi="Helvetica Neue" w:asciiTheme="majorHAnsi" w:cstheme="majorHAnsi" w:hAnsiTheme="majorHAnsi"/>
        </w:rPr>
        <w:t xml:space="preserve">accessing services delivered through a primary care contract; or </w:t>
      </w:r>
    </w:p>
    <w:p>
      <w:pPr>
        <w:pStyle w:val="ListParagraph"/>
        <w:numPr>
          <w:ilvl w:val="0"/>
          <w:numId w:val="3"/>
        </w:numPr>
        <w:pBdr/>
        <w:spacing w:lineRule="atLeast" w:line="408"/>
        <w:ind w:hanging="360" w:left="360" w:right="-194"/>
        <w:rPr>
          <w:rFonts w:ascii="Helvetica Neue" w:hAnsi="Helvetica Neue" w:cs="Helvetica Neue" w:asciiTheme="majorHAnsi" w:cstheme="majorHAnsi" w:hAnsiTheme="majorHAnsi"/>
        </w:rPr>
      </w:pPr>
      <w:r>
        <w:rPr>
          <w:rFonts w:cs="Helvetica Neue" w:ascii="Helvetica Neue" w:hAnsi="Helvetica Neue" w:asciiTheme="majorHAnsi" w:cstheme="majorHAnsi" w:hAnsiTheme="majorHAnsi"/>
        </w:rPr>
        <w:t xml:space="preserve">in high secure psychiatric services; or </w:t>
      </w:r>
    </w:p>
    <w:p>
      <w:pPr>
        <w:pStyle w:val="ListParagraph"/>
        <w:numPr>
          <w:ilvl w:val="0"/>
          <w:numId w:val="3"/>
        </w:numPr>
        <w:pBdr/>
        <w:spacing w:lineRule="atLeast" w:line="408"/>
        <w:ind w:hanging="360" w:left="360" w:right="-194"/>
        <w:rPr>
          <w:rFonts w:ascii="Helvetica Neue" w:hAnsi="Helvetica Neue" w:cs="Helvetica Neue" w:asciiTheme="majorHAnsi" w:cstheme="majorHAnsi" w:hAnsiTheme="majorHAnsi"/>
        </w:rPr>
      </w:pPr>
      <w:r>
        <w:rPr>
          <w:rFonts w:cs="Helvetica Neue" w:ascii="Helvetica Neue" w:hAnsi="Helvetica Neue" w:asciiTheme="majorHAnsi" w:cstheme="majorHAnsi" w:hAnsiTheme="majorHAnsi"/>
        </w:rPr>
        <w:t xml:space="preserve">detained under the Mental Health Act 1983; or • detained in a secure setting. This includes people in or on temporary release from prisons, courts, secure children’s homes, certain secure training centres, immigration removal centres or young offender institutions; or </w:t>
      </w:r>
    </w:p>
    <w:p>
      <w:pPr>
        <w:pStyle w:val="ListParagraph"/>
        <w:numPr>
          <w:ilvl w:val="0"/>
          <w:numId w:val="3"/>
        </w:numPr>
        <w:pBdr/>
        <w:spacing w:lineRule="atLeast" w:line="408"/>
        <w:ind w:hanging="360" w:left="360" w:right="-194"/>
        <w:rPr>
          <w:rFonts w:ascii="Helvetica Neue" w:hAnsi="Helvetica Neue" w:eastAsia="Times New Roman" w:cs="Helvetica Neue" w:asciiTheme="majorHAnsi" w:cstheme="majorHAnsi" w:hAnsiTheme="majorHAnsi"/>
          <w:color w:val="4A4E57"/>
        </w:rPr>
      </w:pPr>
      <w:r>
        <w:rPr>
          <w:rFonts w:cs="Helvetica Neue" w:ascii="Helvetica Neue" w:hAnsi="Helvetica Neue" w:asciiTheme="majorHAnsi" w:cstheme="majorHAnsi" w:hAnsiTheme="majorHAnsi"/>
        </w:rPr>
        <w:t>serving as a member of the armed forces (family members in England have the same rights as other residents of England).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rFonts w:ascii="Helvetica Neue" w:hAnsi="Helvetica Neue" w:eastAsia="Calibri" w:cs="Helvetica Neue" w:asciiTheme="majorHAnsi" w:cstheme="majorHAnsi" w:hAnsiTheme="majorHAnsi"/>
          <w:b/>
          <w:bCs/>
        </w:rPr>
      </w:pPr>
      <w:r>
        <w:rPr>
          <w:rFonts w:eastAsia="Calibri" w:cs="Helvetica Neue" w:ascii="Helvetica Neue" w:hAnsi="Helvetica Neue" w:asciiTheme="majorHAnsi" w:cstheme="majorHAnsi" w:hAnsiTheme="majorHAnsi"/>
          <w:b/>
          <w:bCs/>
        </w:rPr>
        <w:t>My elected choice of provider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If you agree that there does seem to be an indication that I might have ADHD or ASD and agree that I should be referred to a consultant or specialist for this, I would like to use my Right to Choose to be referred to Dr J and colleagues, who fulfil the referral criteria as they have a commissioning contract with the following: 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numPr>
          <w:ilvl w:val="0"/>
          <w:numId w:val="2"/>
        </w:numPr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Lincolnshire ICB</w:t>
      </w:r>
    </w:p>
    <w:p>
      <w:pPr>
        <w:pStyle w:val="Body"/>
        <w:spacing w:lineRule="auto" w:line="276"/>
        <w:ind w:left="14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pBdr/>
        <w:jc w:val="both"/>
        <w:rPr>
          <w:rFonts w:ascii="Helvetica Neue" w:hAnsi="Helvetica Neue" w:eastAsia="Calibri" w:cs="Helvetica Neue" w:asciiTheme="majorHAnsi" w:cstheme="majorHAnsi" w:hAnsiTheme="majorHAnsi"/>
        </w:rPr>
      </w:pPr>
      <w:r>
        <w:rPr>
          <w:rFonts w:eastAsia="Calibri" w:cs="Helvetica Neue" w:ascii="Helvetica Neue" w:hAnsi="Helvetica Neue" w:asciiTheme="majorHAnsi" w:cstheme="majorHAnsi" w:hAnsiTheme="majorHAnsi"/>
        </w:rPr>
        <w:t xml:space="preserve">The contract details are: </w:t>
      </w:r>
    </w:p>
    <w:p>
      <w:pPr>
        <w:pStyle w:val="ListParagraph"/>
        <w:numPr>
          <w:ilvl w:val="0"/>
          <w:numId w:val="4"/>
        </w:numPr>
        <w:pBdr/>
        <w:jc w:val="both"/>
        <w:rPr>
          <w:rFonts w:ascii="Helvetica Neue" w:hAnsi="Helvetica Neue" w:eastAsia="Calibri" w:cs="Helvetica Neue" w:asciiTheme="majorHAnsi" w:cstheme="majorHAnsi" w:hAnsiTheme="majorHAnsi"/>
        </w:rPr>
      </w:pPr>
      <w:r>
        <w:rPr>
          <w:rFonts w:eastAsia="Calibri" w:cs="Helvetica Neue" w:ascii="Helvetica Neue" w:hAnsi="Helvetica Neue" w:asciiTheme="majorHAnsi" w:cstheme="majorHAnsi" w:hAnsiTheme="majorHAnsi"/>
        </w:rPr>
        <w:t xml:space="preserve">Contract title: </w:t>
      </w:r>
      <w:r>
        <w:rPr>
          <w:rFonts w:cs="Arial" w:ascii="Arial" w:hAnsi="Arial"/>
          <w:sz w:val="20"/>
          <w:szCs w:val="20"/>
          <w:lang w:val="en-GB"/>
        </w:rPr>
        <w:t>ADHD and ASD</w:t>
      </w:r>
    </w:p>
    <w:p>
      <w:pPr>
        <w:pStyle w:val="ListParagraph"/>
        <w:numPr>
          <w:ilvl w:val="0"/>
          <w:numId w:val="4"/>
        </w:numPr>
        <w:pBdr/>
        <w:jc w:val="both"/>
        <w:rPr>
          <w:rFonts w:ascii="Helvetica Neue" w:hAnsi="Helvetica Neue" w:eastAsia="Calibri" w:cs="Helvetica Neue" w:asciiTheme="majorHAnsi" w:cstheme="majorHAnsi" w:hAnsiTheme="majorHAnsi"/>
        </w:rPr>
      </w:pPr>
      <w:r>
        <w:rPr>
          <w:rFonts w:eastAsia="Calibri" w:cs="Helvetica Neue" w:ascii="Helvetica Neue" w:hAnsi="Helvetica Neue" w:asciiTheme="majorHAnsi" w:cstheme="majorHAnsi" w:hAnsiTheme="majorHAnsi"/>
        </w:rPr>
        <w:t xml:space="preserve">Ref: </w:t>
      </w:r>
      <w:r>
        <w:rPr>
          <w:rFonts w:cs="Arial" w:ascii="Arial" w:hAnsi="Arial"/>
          <w:sz w:val="20"/>
          <w:szCs w:val="20"/>
          <w:lang w:val="en-GB"/>
        </w:rPr>
        <w:t>10657</w:t>
      </w:r>
    </w:p>
    <w:p>
      <w:pPr>
        <w:pStyle w:val="ListParagraph"/>
        <w:numPr>
          <w:ilvl w:val="0"/>
          <w:numId w:val="4"/>
        </w:numPr>
        <w:pBdr/>
        <w:spacing w:lineRule="auto" w:line="276"/>
        <w:jc w:val="both"/>
        <w:rPr>
          <w:sz w:val="24"/>
          <w:szCs w:val="24"/>
        </w:rPr>
      </w:pPr>
      <w:r>
        <w:rPr>
          <w:rFonts w:eastAsia="Calibri" w:cs="Helvetica Neue" w:ascii="Helvetica Neue" w:hAnsi="Helvetica Neue" w:asciiTheme="majorHAnsi" w:cstheme="majorHAnsi" w:hAnsiTheme="majorHAnsi"/>
        </w:rPr>
        <w:t>NHS Standard Contract</w:t>
      </w:r>
    </w:p>
    <w:p>
      <w:pPr>
        <w:pStyle w:val="Body"/>
        <w:spacing w:lineRule="auto" w:line="276"/>
        <w:ind w:left="14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Their Adult ADHD and ASD Service is led by Dr Jajawi, Consultant Psychiatrist MBCHB, MRCPsych.</w: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mc:AlternateContent>
          <mc:Choice Requires="wps">
            <w:drawing>
              <wp:anchor behindDoc="0" distT="25400" distB="76200" distL="38100" distR="50800" simplePos="0" locked="0" layoutInCell="1" allowOverlap="1" relativeHeight="2" wp14:anchorId="2CA8F714">
                <wp:simplePos x="0" y="0"/>
                <wp:positionH relativeFrom="column">
                  <wp:posOffset>-105410</wp:posOffset>
                </wp:positionH>
                <wp:positionV relativeFrom="line">
                  <wp:posOffset>234950</wp:posOffset>
                </wp:positionV>
                <wp:extent cx="5905500" cy="2095500"/>
                <wp:effectExtent l="43180" t="20320" r="43180" b="66040"/>
                <wp:wrapNone/>
                <wp:docPr id="1" name="officeArt object" descr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440" cy="20955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4a7ebb"/>
                          </a:solidFill>
                          <a:round/>
                        </a:ln>
                        <a:effectLst>
                          <a:outerShdw blurRad="38160" dir="5400000" dist="2304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officeArt object" path="m0,0l-2147483645,0l-2147483645,-2147483646l0,-2147483646xe" stroked="t" o:allowincell="f" style="position:absolute;margin-left:-8.3pt;margin-top:-18.5pt;width:464.95pt;height:164.95pt;mso-wrap-style:none;v-text-anchor:middle" wp14:anchorId="2CA8F714">
                <v:fill o:detectmouseclick="t" on="false"/>
                <v:stroke color="#4a7ebb" weight="9360" joinstyle="round" endcap="flat"/>
                <v:shadow on="t" obscured="f" color="black"/>
                <w10:wrap type="none"/>
              </v:rect>
            </w:pict>
          </mc:Fallback>
        </mc:AlternateContent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In order to be accepted the referral </w:t>
      </w:r>
      <w:r>
        <w:rPr>
          <w:b/>
          <w:bCs/>
          <w:color w:val="FF0000"/>
          <w:sz w:val="28"/>
          <w:szCs w:val="28"/>
          <w:u w:val="single" w:color="FF0000"/>
        </w:rPr>
        <w:t>must:</w:t>
      </w:r>
    </w:p>
    <w:p>
      <w:pPr>
        <w:pStyle w:val="ListParagraph"/>
        <w:numPr>
          <w:ilvl w:val="0"/>
          <w:numId w:val="1"/>
        </w:numPr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Be addressed to Dr J and colleagues</w:t>
      </w:r>
    </w:p>
    <w:p>
      <w:pPr>
        <w:pStyle w:val="ListParagraph"/>
        <w:numPr>
          <w:ilvl w:val="0"/>
          <w:numId w:val="1"/>
        </w:numPr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State that the patient is to be referred to Dr J and Colleagues  for an ADHD &amp; ASD Assessment under the NHS Right to Choose Legislation</w:t>
      </w:r>
    </w:p>
    <w:p>
      <w:pPr>
        <w:pStyle w:val="ListParagraph"/>
        <w:numPr>
          <w:ilvl w:val="0"/>
          <w:numId w:val="1"/>
        </w:numPr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Be signed off by a GP</w:t>
      </w:r>
    </w:p>
    <w:p>
      <w:pPr>
        <w:pStyle w:val="ListParagraph"/>
        <w:numPr>
          <w:ilvl w:val="0"/>
          <w:numId w:val="1"/>
        </w:numPr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Include a completed ASRS form</w:t>
      </w:r>
    </w:p>
    <w:p>
      <w:pPr>
        <w:pStyle w:val="ListParagraph"/>
        <w:numPr>
          <w:ilvl w:val="0"/>
          <w:numId w:val="1"/>
        </w:numPr>
        <w:spacing w:lineRule="auto" w:line="276"/>
        <w:rPr>
          <w:sz w:val="24"/>
          <w:szCs w:val="24"/>
        </w:rPr>
      </w:pPr>
      <w:r>
        <w:rPr>
          <w:sz w:val="24"/>
          <w:szCs w:val="24"/>
        </w:rPr>
        <w:t>Include a patient summary along with patient contact details (phone and email address)</w:t>
      </w:r>
    </w:p>
    <w:p>
      <w:pPr>
        <w:pStyle w:val="ListParagraph"/>
        <w:numPr>
          <w:ilvl w:val="0"/>
          <w:numId w:val="1"/>
        </w:numPr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Approval of the corresponding Local health authority of funding. </w:t>
        <w:br/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spacing w:lineRule="auto" w:line="276"/>
        <w:rPr>
          <w:sz w:val="24"/>
          <w:szCs w:val="24"/>
        </w:rPr>
      </w:pPr>
      <w:r>
        <w:rPr>
          <w:sz w:val="24"/>
          <w:szCs w:val="24"/>
        </w:rPr>
        <w:t xml:space="preserve">Referrals can </w:t>
      </w:r>
      <w:r>
        <w:rPr>
          <w:sz w:val="24"/>
          <w:szCs w:val="24"/>
        </w:rPr>
        <w:t xml:space="preserve">be submitted on our website at: </w:t>
      </w:r>
      <w:hyperlink r:id="rId2">
        <w:r>
          <w:rPr>
            <w:rStyle w:val="Hyperlink"/>
            <w:sz w:val="24"/>
            <w:szCs w:val="24"/>
          </w:rPr>
          <w:t>https://www.drsj.co.uk/gp-referral</w:t>
        </w:r>
      </w:hyperlink>
      <w:hyperlink r:id="rId3">
        <w:r>
          <w:rPr>
            <w:sz w:val="24"/>
            <w:szCs w:val="24"/>
          </w:rPr>
          <w:t xml:space="preserve"> </w:t>
        </w:r>
      </w:hyperlink>
    </w:p>
    <w:p>
      <w:pPr>
        <w:pStyle w:val="Body"/>
        <w:spacing w:lineRule="auto" w:line="276"/>
        <w:rPr>
          <w:sz w:val="24"/>
          <w:szCs w:val="24"/>
        </w:rPr>
      </w:pPr>
      <w:r>
        <w:rPr/>
      </w:r>
    </w:p>
    <w:p>
      <w:pPr>
        <w:pStyle w:val="Body"/>
        <w:spacing w:lineRule="auto" w:line="276"/>
        <w:rPr>
          <w:rStyle w:val="None"/>
          <w:sz w:val="24"/>
          <w:szCs w:val="24"/>
        </w:rPr>
      </w:pPr>
      <w:r>
        <w:rPr>
          <w:rStyle w:val="None"/>
          <w:sz w:val="24"/>
          <w:szCs w:val="24"/>
        </w:rPr>
        <w:t>Regards,</w:t>
      </w:r>
    </w:p>
    <w:p>
      <w:pPr>
        <w:pStyle w:val="Body"/>
        <w:spacing w:lineRule="auto" w:line="276"/>
        <w:rPr>
          <w:rStyle w:val="None"/>
          <w:sz w:val="24"/>
          <w:szCs w:val="24"/>
        </w:rPr>
      </w:pPr>
      <w:r>
        <w:rPr>
          <w:sz w:val="24"/>
          <w:szCs w:val="24"/>
        </w:rPr>
      </w:r>
    </w:p>
    <w:p>
      <w:pPr>
        <w:pStyle w:val="Body"/>
        <w:spacing w:lineRule="auto" w:line="276"/>
        <w:jc w:val="both"/>
        <w:rPr/>
      </w:pPr>
      <w:r>
        <w:rPr>
          <w:rStyle w:val="None"/>
          <w:color w:val="0070C0"/>
          <w:sz w:val="24"/>
          <w:szCs w:val="24"/>
        </w:rPr>
        <w:t>[your name and signature]</w:t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 Neue"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Symbol">
    <w:charset w:val="02"/>
    <w:family w:val="auto"/>
    <w:pitch w:val="default"/>
  </w:font>
  <w:font w:name="Arial Unicode MS">
    <w:charset w:val="01"/>
    <w:family w:val="swiss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  <w:font w:name="Calibri">
    <w:charset w:val="01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Arial Unicode MS" w:hAnsi="Arial Unicode MS" w:cs="Arial Unicode MS" w:hint="default"/>
        <w:smallCaps w:val="false"/>
        <w:caps w:val="false"/>
        <w:outline w:val="false"/>
        <w:dstrike w:val="false"/>
        <w:strike w:val="false"/>
        <w:vertAlign w:val="baseline"/>
        <w:position w:val="0"/>
        <w:sz w:val="20"/>
        <w:spacing w:val="0"/>
        <w:i w:val="false"/>
        <w:b w:val="false"/>
        <w:kern w:val="0"/>
        <w:iCs w:val="false"/>
        <w:bCs w:val="false"/>
        <w:w w:val="100"/>
        <w:emboss w:val="false"/>
        <w:imprint w:val="false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>
    <w:lvl w:ilvl="0">
      <w:numFmt w:val="bullet"/>
      <w:lvlText w:val="•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rFonts w:eastAsiaTheme="minorHAns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GB" w:eastAsia="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imes New Roman"/>
        <w:lang w:val="en-GB" w:eastAsia="en-GB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pBdr/>
      <w:bidi w:val="0"/>
      <w:spacing w:before="0" w:after="0"/>
      <w:jc w:val="left"/>
    </w:pPr>
    <w:rPr>
      <w:rFonts w:ascii="Times New Roman" w:hAnsi="Times New Roman" w:eastAsia="Arial Unicode MS" w:cs="Times New Roman"/>
      <w:color w:val="auto"/>
      <w:kern w:val="0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u w:val="single"/>
    </w:rPr>
  </w:style>
  <w:style w:type="character" w:styleId="None" w:customStyle="1">
    <w:name w:val="None"/>
    <w:qFormat/>
    <w:rPr/>
  </w:style>
  <w:style w:type="character" w:styleId="Hyperlink0" w:customStyle="1">
    <w:name w:val="Hyperlink.0"/>
    <w:basedOn w:val="None"/>
    <w:qFormat/>
    <w:rPr>
      <w:outline w:val="false"/>
      <w:color w:val="0000FF"/>
      <w:sz w:val="24"/>
      <w:szCs w:val="24"/>
      <w:u w:val="single" w:color="0000FF"/>
    </w:rPr>
  </w:style>
  <w:style w:type="character" w:styleId="Hyperlink1" w:customStyle="1">
    <w:name w:val="Hyperlink.1"/>
    <w:basedOn w:val="None"/>
    <w:qFormat/>
    <w:rPr>
      <w:outline w:val="false"/>
      <w:color w:val="0000FF"/>
      <w:u w:val="single" w:color="0000FF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0458ae"/>
    <w:rPr>
      <w:sz w:val="24"/>
      <w:szCs w:val="24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0458ae"/>
    <w:rPr>
      <w:sz w:val="24"/>
      <w:szCs w:val="24"/>
      <w:lang w:val="en-US" w:eastAsia="en-US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b68c0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6b68c0"/>
    <w:rPr>
      <w:lang w:val="en-US" w:eastAsia="en-US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6b68c0"/>
    <w:rPr>
      <w:b/>
      <w:bCs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8a614f"/>
    <w:rPr>
      <w:color w:val="605E5C"/>
      <w:shd w:fill="E1DFDD" w:val="clear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HeaderFooter" w:customStyle="1">
    <w:name w:val="Header &amp; Footer"/>
    <w:qFormat/>
    <w:pPr>
      <w:widowControl/>
      <w:pBdr/>
      <w:tabs>
        <w:tab w:val="clear" w:pos="720"/>
        <w:tab w:val="right" w:pos="9020" w:leader="none"/>
      </w:tabs>
      <w:bidi w:val="0"/>
      <w:spacing w:before="0" w:after="0"/>
      <w:jc w:val="left"/>
    </w:pPr>
    <w:rPr>
      <w:rFonts w:ascii="Helvetica Neue" w:hAnsi="Helvetica Neue" w:cs="Arial Unicode MS" w:eastAsia="Arial Unicode MS"/>
      <w:color w:val="000000"/>
      <w:kern w:val="0"/>
      <w:sz w:val="24"/>
      <w:szCs w:val="24"/>
      <w:lang w:val="en-GB" w:eastAsia="en-GB" w:bidi="ar-SA"/>
      <w14:textOutline w14:w="0" w14:cap="flat" w14:cmpd="sng" w14:algn="ctr">
        <w14:noFill/>
        <w14:prstDash w14:val="solid"/>
        <w14:bevel/>
      </w14:textOutline>
    </w:rPr>
  </w:style>
  <w:style w:type="paragraph" w:styleId="Body" w:customStyle="1">
    <w:name w:val="Body"/>
    <w:qFormat/>
    <w:pPr>
      <w:widowControl/>
      <w:pBdr/>
      <w:bidi w:val="0"/>
      <w:spacing w:before="0" w:after="0"/>
      <w:jc w:val="left"/>
    </w:pPr>
    <w:rPr>
      <w:rFonts w:ascii="Calibri" w:hAnsi="Calibri" w:cs="Arial Unicode MS" w:eastAsia="Arial Unicode MS"/>
      <w:color w:val="000000"/>
      <w:kern w:val="0"/>
      <w:sz w:val="22"/>
      <w:szCs w:val="22"/>
      <w:u w:val="none" w:color="000000"/>
      <w:lang w:val="en-US" w:eastAsia="en-GB" w:bidi="ar-SA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uiPriority w:val="34"/>
    <w:qFormat/>
    <w:pPr>
      <w:widowControl/>
      <w:pBdr/>
      <w:bidi w:val="0"/>
      <w:spacing w:before="0" w:after="0"/>
      <w:ind w:left="720"/>
      <w:jc w:val="left"/>
    </w:pPr>
    <w:rPr>
      <w:rFonts w:ascii="Calibri" w:hAnsi="Calibri" w:cs="Arial Unicode MS" w:eastAsia="Arial Unicode MS"/>
      <w:color w:val="000000"/>
      <w:kern w:val="0"/>
      <w:sz w:val="22"/>
      <w:szCs w:val="22"/>
      <w:u w:val="none" w:color="000000"/>
      <w:lang w:val="en-US" w:eastAsia="en-GB" w:bidi="ar-SA"/>
    </w:rPr>
  </w:style>
  <w:style w:type="paragraph" w:styleId="Default" w:customStyle="1">
    <w:name w:val="Default"/>
    <w:qFormat/>
    <w:pPr>
      <w:widowControl/>
      <w:pBdr/>
      <w:bidi w:val="0"/>
      <w:spacing w:lineRule="auto" w:line="288" w:before="160" w:after="0"/>
      <w:jc w:val="left"/>
    </w:pPr>
    <w:rPr>
      <w:rFonts w:ascii="Helvetica Neue" w:hAnsi="Helvetica Neue" w:cs="Arial Unicode MS" w:eastAsia="Arial Unicode MS"/>
      <w:color w:val="000000"/>
      <w:kern w:val="0"/>
      <w:sz w:val="24"/>
      <w:szCs w:val="24"/>
      <w:lang w:val="en-US" w:eastAsia="en-GB" w:bidi="ar-SA"/>
      <w14:textOutline w14:w="0" w14:cap="flat" w14:cmpd="sng" w14:algn="ctr">
        <w14:noFill/>
        <w14:prstDash w14:val="solid"/>
        <w14:bevel/>
      </w14:textOutline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0458ae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0458ae"/>
    <w:pPr>
      <w:tabs>
        <w:tab w:val="clear" w:pos="720"/>
        <w:tab w:val="center" w:pos="4513" w:leader="none"/>
        <w:tab w:val="right" w:pos="9026" w:leader="none"/>
      </w:tabs>
    </w:pPr>
    <w:rPr/>
  </w:style>
  <w:style w:type="paragraph" w:styleId="AnnotationText">
    <w:name w:val="Annotation Text"/>
    <w:basedOn w:val="Normal"/>
    <w:link w:val="CommentTextChar"/>
    <w:uiPriority w:val="99"/>
    <w:semiHidden/>
    <w:unhideWhenUsed/>
    <w:rsid w:val="006b68c0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6b68c0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ImportedStyle1" w:customStyle="1">
    <w:name w:val="Imported Style 1"/>
    <w:qFormat/>
  </w:style>
  <w:style w:type="numbering" w:styleId="ImportedStyle2" w:customStyle="1">
    <w:name w:val="Imported Style 2"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drsj.co.uk/gp-referral" TargetMode="External"/><Relationship Id="rId3" Type="http://schemas.openxmlformats.org/officeDocument/2006/relationships/hyperlink" Target="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 pitchFamily="0" charset="1"/>
        <a:ea typeface="Helvetica Neue" pitchFamily="0" charset="1"/>
        <a:cs typeface="Helvetica Neue" pitchFamily="0" charset="1"/>
      </a:majorFont>
      <a:minorFont>
        <a:latin typeface="Helvetica Neue" pitchFamily="0" charset="1"/>
        <a:ea typeface="Helvetica Neue" pitchFamily="0" charset="1"/>
        <a:cs typeface="Helvetica Neue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2e02365-74ca-4443-8441-8a58da96f1b7" xsi:nil="true"/>
    <lcf76f155ced4ddcb4097134ff3c332f xmlns="483600c0-35de-456b-9099-d0878cca0fb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D2513F29A9AE40ADC0D11F9AC579DA" ma:contentTypeVersion="14" ma:contentTypeDescription="Create a new document." ma:contentTypeScope="" ma:versionID="b8ee78f3ccae42950313621abdfbac30">
  <xsd:schema xmlns:xsd="http://www.w3.org/2001/XMLSchema" xmlns:xs="http://www.w3.org/2001/XMLSchema" xmlns:p="http://schemas.microsoft.com/office/2006/metadata/properties" xmlns:ns2="483600c0-35de-456b-9099-d0878cca0fbd" xmlns:ns3="72e02365-74ca-4443-8441-8a58da96f1b7" targetNamespace="http://schemas.microsoft.com/office/2006/metadata/properties" ma:root="true" ma:fieldsID="61ec6f5d3478b88aa99509c18ae6fc67" ns2:_="" ns3:_="">
    <xsd:import namespace="483600c0-35de-456b-9099-d0878cca0fbd"/>
    <xsd:import namespace="72e02365-74ca-4443-8441-8a58da96f1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600c0-35de-456b-9099-d0878cca0fb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a77b480-07a4-4d1b-aed6-c082deaa83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e02365-74ca-4443-8441-8a58da96f1b7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73a5281-d591-42cd-be64-8f07ab6ecdbc}" ma:internalName="TaxCatchAll" ma:showField="CatchAllData" ma:web="72e02365-74ca-4443-8441-8a58da96f1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E6170E-05AE-404A-9110-62D45FC49E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01B409-4E2E-4B3B-AC27-B2EBFD9CA3DB}">
  <ds:schemaRefs>
    <ds:schemaRef ds:uri="http://schemas.microsoft.com/office/2006/metadata/properties"/>
    <ds:schemaRef ds:uri="http://schemas.microsoft.com/office/infopath/2007/PartnerControls"/>
    <ds:schemaRef ds:uri="72e02365-74ca-4443-8441-8a58da96f1b7"/>
    <ds:schemaRef ds:uri="483600c0-35de-456b-9099-d0878cca0fbd"/>
  </ds:schemaRefs>
</ds:datastoreItem>
</file>

<file path=customXml/itemProps3.xml><?xml version="1.0" encoding="utf-8"?>
<ds:datastoreItem xmlns:ds="http://schemas.openxmlformats.org/officeDocument/2006/customXml" ds:itemID="{16B5E12C-995A-4197-9B09-D631375325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3600c0-35de-456b-9099-d0878cca0fbd"/>
    <ds:schemaRef ds:uri="72e02365-74ca-4443-8441-8a58da96f1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LibreOffice/24.2.7.2$Linux_X86_64 LibreOffice_project/420$Build-2</Application>
  <AppVersion>15.0000</AppVersion>
  <Pages>3</Pages>
  <Words>639</Words>
  <Characters>3184</Characters>
  <CharactersWithSpaces>3784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2022-11-02T14:17:00Z</dcterms:created>
  <dc:creator>Laura Sawyer</dc:creator>
  <dc:description/>
  <dc:language>en-GB</dc:language>
  <cp:lastModifiedBy/>
  <dcterms:modified xsi:type="dcterms:W3CDTF">2025-05-16T16:10:31Z</dcterms:modified>
  <cp:revision>30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0x0101001CD2513F29A9AE40ADC0D11F9AC579DA</vt:lpwstr>
  </property>
  <property fmtid="{D5CDD505-2E9C-101B-9397-08002B2CF9AE}" pid="3" name="MSIP_Label_6a05d1b9-7e83-4fee-ad69-47203096280b_ActionId">
    <vt:lpwstr>7012edd0-1277-469c-8037-4b2636f1ef30</vt:lpwstr>
  </property>
  <property fmtid="{D5CDD505-2E9C-101B-9397-08002B2CF9AE}" pid="4" name="MSIP_Label_6a05d1b9-7e83-4fee-ad69-47203096280b_ContentBits">
    <vt:lpwstr>0</vt:lpwstr>
  </property>
  <property fmtid="{D5CDD505-2E9C-101B-9397-08002B2CF9AE}" pid="5" name="MSIP_Label_6a05d1b9-7e83-4fee-ad69-47203096280b_Enabled">
    <vt:lpwstr>true</vt:lpwstr>
  </property>
  <property fmtid="{D5CDD505-2E9C-101B-9397-08002B2CF9AE}" pid="6" name="MSIP_Label_6a05d1b9-7e83-4fee-ad69-47203096280b_Method">
    <vt:lpwstr>Standard</vt:lpwstr>
  </property>
  <property fmtid="{D5CDD505-2E9C-101B-9397-08002B2CF9AE}" pid="7" name="MSIP_Label_6a05d1b9-7e83-4fee-ad69-47203096280b_Name">
    <vt:lpwstr>defa4170-0d19-0005-0004-bc88714345d2</vt:lpwstr>
  </property>
  <property fmtid="{D5CDD505-2E9C-101B-9397-08002B2CF9AE}" pid="8" name="MSIP_Label_6a05d1b9-7e83-4fee-ad69-47203096280b_SetDate">
    <vt:lpwstr>2023-05-18T17:33:16Z</vt:lpwstr>
  </property>
  <property fmtid="{D5CDD505-2E9C-101B-9397-08002B2CF9AE}" pid="9" name="MSIP_Label_6a05d1b9-7e83-4fee-ad69-47203096280b_SiteId">
    <vt:lpwstr>d886b82d-d2de-4506-a862-6840bf4b1ef1</vt:lpwstr>
  </property>
</Properties>
</file>